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B4011" w14:textId="6D307E96" w:rsidR="00C26EA3" w:rsidRPr="002301C9" w:rsidRDefault="00012F56" w:rsidP="007E4A1F">
      <w:pPr>
        <w:tabs>
          <w:tab w:val="left" w:pos="6444"/>
        </w:tabs>
        <w:spacing w:before="60"/>
        <w:jc w:val="both"/>
        <w:rPr>
          <w:rFonts w:eastAsia="Times New Roman" w:cstheme="minorHAnsi"/>
          <w:bCs/>
          <w:color w:val="000000"/>
          <w:kern w:val="28"/>
          <w:sz w:val="20"/>
          <w:szCs w:val="20"/>
          <w:lang w:bidi="as-IN"/>
        </w:rPr>
      </w:pPr>
      <w:bookmarkStart w:id="0" w:name="_Hlk102813844"/>
      <w:r w:rsidRPr="002301C9">
        <w:rPr>
          <w:rFonts w:eastAsia="Times New Roman" w:cstheme="minorHAnsi"/>
          <w:bCs/>
          <w:color w:val="000000"/>
          <w:kern w:val="28"/>
          <w:sz w:val="20"/>
          <w:szCs w:val="20"/>
          <w:lang w:bidi="as-IN"/>
        </w:rPr>
        <w:tab/>
      </w:r>
    </w:p>
    <w:p w14:paraId="5B6AD482" w14:textId="2C6760DC" w:rsidR="00012F56" w:rsidRPr="002301C9" w:rsidRDefault="00012F56" w:rsidP="007E4A1F">
      <w:pPr>
        <w:tabs>
          <w:tab w:val="left" w:pos="1214"/>
          <w:tab w:val="left" w:pos="1559"/>
          <w:tab w:val="center" w:pos="4535"/>
        </w:tabs>
        <w:spacing w:before="60"/>
        <w:jc w:val="both"/>
        <w:rPr>
          <w:rFonts w:eastAsia="Times New Roman" w:cstheme="minorHAnsi"/>
          <w:bCs/>
          <w:color w:val="000000"/>
          <w:kern w:val="28"/>
          <w:sz w:val="20"/>
          <w:szCs w:val="20"/>
          <w:lang w:bidi="as-IN"/>
        </w:rPr>
      </w:pPr>
    </w:p>
    <w:p w14:paraId="27C86EBD" w14:textId="55303EB6" w:rsidR="00012F56" w:rsidRDefault="00986AD8" w:rsidP="007E4A1F">
      <w:pPr>
        <w:pStyle w:val="Prrafodelista"/>
        <w:ind w:left="0"/>
        <w:jc w:val="center"/>
        <w:rPr>
          <w:rFonts w:cstheme="minorHAnsi"/>
          <w:b/>
          <w:bCs/>
        </w:rPr>
      </w:pPr>
      <w:r>
        <w:rPr>
          <w:rFonts w:cstheme="minorHAnsi"/>
          <w:b/>
          <w:bCs/>
          <w:sz w:val="32"/>
          <w:szCs w:val="32"/>
        </w:rPr>
        <w:t>BIBLIOGRAFIA ESPECIALIZADA</w:t>
      </w:r>
    </w:p>
    <w:p w14:paraId="3CC595CF" w14:textId="77777777" w:rsidR="00012F56" w:rsidRDefault="00012F56" w:rsidP="007E4A1F">
      <w:pPr>
        <w:jc w:val="both"/>
        <w:rPr>
          <w:rFonts w:cstheme="minorHAnsi"/>
        </w:rPr>
      </w:pPr>
    </w:p>
    <w:bookmarkEnd w:id="0"/>
    <w:p w14:paraId="3AF7BF00" w14:textId="4D67380B" w:rsidR="009A6E1D" w:rsidRDefault="009A6E1D" w:rsidP="007E4A1F"/>
    <w:p w14:paraId="0BDDDE0F" w14:textId="7500AB6F" w:rsidR="009A6E1D" w:rsidRDefault="008F47A6" w:rsidP="007E4A1F">
      <w:pPr>
        <w:rPr>
          <w:b/>
          <w:bCs/>
        </w:rPr>
      </w:pPr>
      <w:r w:rsidRPr="008F47A6">
        <w:rPr>
          <w:b/>
          <w:bCs/>
        </w:rPr>
        <w:t xml:space="preserve">Bibliografía </w:t>
      </w:r>
    </w:p>
    <w:p w14:paraId="6FF79763" w14:textId="77777777" w:rsidR="005F5801" w:rsidRPr="005F5801" w:rsidRDefault="005F5801" w:rsidP="005F5801">
      <w:pPr>
        <w:autoSpaceDE w:val="0"/>
        <w:autoSpaceDN w:val="0"/>
        <w:adjustRightInd w:val="0"/>
        <w:spacing w:before="240" w:after="240"/>
        <w:ind w:left="709" w:hanging="709"/>
        <w:jc w:val="both"/>
        <w:rPr>
          <w:rFonts w:cstheme="minorHAnsi"/>
          <w:u w:val="single"/>
        </w:rPr>
      </w:pPr>
      <w:proofErr w:type="spellStart"/>
      <w:r w:rsidRPr="00FB317A">
        <w:rPr>
          <w:rStyle w:val="st"/>
          <w:rFonts w:cstheme="minorHAnsi"/>
        </w:rPr>
        <w:t>Bilecen</w:t>
      </w:r>
      <w:proofErr w:type="spellEnd"/>
      <w:r w:rsidRPr="00FB317A">
        <w:rPr>
          <w:rStyle w:val="st"/>
          <w:rFonts w:cstheme="minorHAnsi"/>
        </w:rPr>
        <w:t xml:space="preserve">, B. &amp; </w:t>
      </w:r>
      <w:proofErr w:type="spellStart"/>
      <w:r w:rsidRPr="00FB317A">
        <w:rPr>
          <w:rStyle w:val="st"/>
          <w:rFonts w:cstheme="minorHAnsi"/>
        </w:rPr>
        <w:t>Barglowski</w:t>
      </w:r>
      <w:proofErr w:type="spellEnd"/>
      <w:r w:rsidRPr="00FB317A">
        <w:rPr>
          <w:rStyle w:val="st"/>
          <w:rFonts w:cstheme="minorHAnsi"/>
        </w:rPr>
        <w:t xml:space="preserve"> K. (2015). </w:t>
      </w:r>
      <w:r w:rsidRPr="005F5801">
        <w:rPr>
          <w:rStyle w:val="nfasis"/>
          <w:rFonts w:cstheme="minorHAnsi"/>
          <w:lang w:val="en-GB"/>
        </w:rPr>
        <w:t>On the Assemblages of Informal and Formal Transnational Social Protection</w:t>
      </w:r>
      <w:r w:rsidRPr="005F5801">
        <w:rPr>
          <w:rStyle w:val="st"/>
          <w:rFonts w:cstheme="minorHAnsi"/>
          <w:lang w:val="en-GB"/>
        </w:rPr>
        <w:t xml:space="preserve">. </w:t>
      </w:r>
      <w:proofErr w:type="spellStart"/>
      <w:r w:rsidRPr="005F5801">
        <w:rPr>
          <w:rStyle w:val="st"/>
          <w:rFonts w:cstheme="minorHAnsi"/>
        </w:rPr>
        <w:t>Population</w:t>
      </w:r>
      <w:proofErr w:type="spellEnd"/>
      <w:r w:rsidRPr="005F5801">
        <w:rPr>
          <w:rStyle w:val="st"/>
          <w:rFonts w:cstheme="minorHAnsi"/>
        </w:rPr>
        <w:t xml:space="preserve">, </w:t>
      </w:r>
      <w:proofErr w:type="spellStart"/>
      <w:r w:rsidRPr="005F5801">
        <w:rPr>
          <w:rStyle w:val="st"/>
          <w:rFonts w:cstheme="minorHAnsi"/>
        </w:rPr>
        <w:t>Space</w:t>
      </w:r>
      <w:proofErr w:type="spellEnd"/>
      <w:r w:rsidRPr="005F5801">
        <w:rPr>
          <w:rStyle w:val="st"/>
          <w:rFonts w:cstheme="minorHAnsi"/>
        </w:rPr>
        <w:t xml:space="preserve"> and Place, 21(3), 203-214. </w:t>
      </w:r>
      <w:r w:rsidRPr="005F5801">
        <w:rPr>
          <w:rFonts w:cstheme="minorHAnsi"/>
        </w:rPr>
        <w:t xml:space="preserve">Versión digital. Recuperado de:  </w:t>
      </w:r>
      <w:hyperlink r:id="rId8" w:history="1">
        <w:r w:rsidRPr="005F5801">
          <w:rPr>
            <w:rStyle w:val="Hipervnculo"/>
            <w:rFonts w:cstheme="minorHAnsi"/>
            <w:color w:val="auto"/>
          </w:rPr>
          <w:t>https://doi.org/10.1002/psp.1897</w:t>
        </w:r>
      </w:hyperlink>
    </w:p>
    <w:p w14:paraId="652EB9F8" w14:textId="77777777" w:rsidR="005F5801" w:rsidRPr="005F5801" w:rsidRDefault="005F5801" w:rsidP="005F5801">
      <w:pPr>
        <w:autoSpaceDE w:val="0"/>
        <w:autoSpaceDN w:val="0"/>
        <w:adjustRightInd w:val="0"/>
        <w:spacing w:before="240" w:after="240"/>
        <w:ind w:left="709" w:hanging="709"/>
        <w:jc w:val="both"/>
        <w:rPr>
          <w:rFonts w:cstheme="minorHAnsi"/>
          <w:u w:val="single"/>
          <w:lang w:val="en-GB"/>
        </w:rPr>
      </w:pPr>
      <w:proofErr w:type="spellStart"/>
      <w:r w:rsidRPr="005F5801">
        <w:rPr>
          <w:rFonts w:cstheme="minorHAnsi"/>
          <w:shd w:val="clear" w:color="auto" w:fill="FFFFFF"/>
          <w:lang w:val="en-GB"/>
        </w:rPr>
        <w:t>Faist</w:t>
      </w:r>
      <w:proofErr w:type="spellEnd"/>
      <w:r w:rsidRPr="005F5801">
        <w:rPr>
          <w:rFonts w:cstheme="minorHAnsi"/>
          <w:shd w:val="clear" w:color="auto" w:fill="FFFFFF"/>
          <w:lang w:val="en-GB"/>
        </w:rPr>
        <w:t>, T. (2019). </w:t>
      </w:r>
      <w:r w:rsidRPr="005F5801">
        <w:rPr>
          <w:rFonts w:cstheme="minorHAnsi"/>
          <w:i/>
          <w:iCs/>
          <w:shd w:val="clear" w:color="auto" w:fill="FFFFFF"/>
          <w:lang w:val="en-GB"/>
        </w:rPr>
        <w:t xml:space="preserve">The </w:t>
      </w:r>
      <w:proofErr w:type="spellStart"/>
      <w:r w:rsidRPr="005F5801">
        <w:rPr>
          <w:rFonts w:cstheme="minorHAnsi"/>
          <w:i/>
          <w:iCs/>
          <w:shd w:val="clear" w:color="auto" w:fill="FFFFFF"/>
          <w:lang w:val="en-GB"/>
        </w:rPr>
        <w:t>transnationalized</w:t>
      </w:r>
      <w:proofErr w:type="spellEnd"/>
      <w:r w:rsidRPr="005F5801">
        <w:rPr>
          <w:rFonts w:cstheme="minorHAnsi"/>
          <w:i/>
          <w:iCs/>
          <w:shd w:val="clear" w:color="auto" w:fill="FFFFFF"/>
          <w:lang w:val="en-GB"/>
        </w:rPr>
        <w:t xml:space="preserve"> social question: Migration and the politics of social inequalities in the twenty-first century</w:t>
      </w:r>
      <w:r w:rsidRPr="005F5801">
        <w:rPr>
          <w:rFonts w:cstheme="minorHAnsi"/>
          <w:shd w:val="clear" w:color="auto" w:fill="FFFFFF"/>
          <w:lang w:val="en-GB"/>
        </w:rPr>
        <w:t xml:space="preserve">. Oxford: Oxford University Press. </w:t>
      </w:r>
      <w:proofErr w:type="spellStart"/>
      <w:r w:rsidRPr="005F5801">
        <w:rPr>
          <w:rFonts w:cstheme="minorHAnsi"/>
          <w:shd w:val="clear" w:color="auto" w:fill="FFFFFF"/>
          <w:lang w:val="en-GB"/>
        </w:rPr>
        <w:t>Recuperado</w:t>
      </w:r>
      <w:proofErr w:type="spellEnd"/>
      <w:r w:rsidRPr="005F5801">
        <w:rPr>
          <w:rFonts w:cstheme="minorHAnsi"/>
          <w:shd w:val="clear" w:color="auto" w:fill="FFFFFF"/>
          <w:lang w:val="en-GB"/>
        </w:rPr>
        <w:t xml:space="preserve"> de: </w:t>
      </w:r>
      <w:hyperlink r:id="rId9" w:history="1">
        <w:r w:rsidRPr="005F5801">
          <w:rPr>
            <w:rStyle w:val="Hipervnculo"/>
            <w:rFonts w:cstheme="minorHAnsi"/>
            <w:color w:val="auto"/>
            <w:lang w:val="en-GB"/>
          </w:rPr>
          <w:t>https://doi.org/10.1093/oso/9780199249015.001.0001</w:t>
        </w:r>
      </w:hyperlink>
    </w:p>
    <w:p w14:paraId="1D3C124D" w14:textId="77777777" w:rsidR="007865D8" w:rsidRPr="007865D8" w:rsidRDefault="005F5801" w:rsidP="007865D8">
      <w:pPr>
        <w:autoSpaceDE w:val="0"/>
        <w:autoSpaceDN w:val="0"/>
        <w:adjustRightInd w:val="0"/>
        <w:spacing w:before="240" w:after="240"/>
        <w:ind w:left="709" w:hanging="709"/>
        <w:jc w:val="both"/>
        <w:rPr>
          <w:rFonts w:cstheme="minorHAnsi"/>
        </w:rPr>
      </w:pPr>
      <w:proofErr w:type="spellStart"/>
      <w:r w:rsidRPr="005F5801">
        <w:rPr>
          <w:rFonts w:cstheme="minorHAnsi"/>
          <w:lang w:val="en-GB"/>
        </w:rPr>
        <w:t>Gimeno-Monterde</w:t>
      </w:r>
      <w:proofErr w:type="spellEnd"/>
      <w:r w:rsidRPr="005F5801">
        <w:rPr>
          <w:rFonts w:cstheme="minorHAnsi"/>
          <w:lang w:val="en-GB"/>
        </w:rPr>
        <w:t xml:space="preserve">, Ch. &amp; Mendoza-Pérez, K (2022) Making the Family Relationships of the Unaccompanied Youth Visible: An Opportunity to Include a New Actor in Children Care, Residential Treatment for Children &amp; Youth. </w:t>
      </w:r>
      <w:r w:rsidRPr="007865D8">
        <w:rPr>
          <w:rFonts w:cstheme="minorHAnsi"/>
        </w:rPr>
        <w:t xml:space="preserve">Recuperado de: </w:t>
      </w:r>
      <w:hyperlink r:id="rId10" w:history="1">
        <w:r w:rsidRPr="007865D8">
          <w:rPr>
            <w:rStyle w:val="Hipervnculo"/>
            <w:rFonts w:cstheme="minorHAnsi"/>
            <w:color w:val="auto"/>
          </w:rPr>
          <w:t>10.1080/0886571X.2022.2101581</w:t>
        </w:r>
      </w:hyperlink>
    </w:p>
    <w:p w14:paraId="23513C45" w14:textId="42710238" w:rsidR="005F5801" w:rsidRPr="00FB317A" w:rsidRDefault="005F5801" w:rsidP="007865D8">
      <w:pPr>
        <w:autoSpaceDE w:val="0"/>
        <w:autoSpaceDN w:val="0"/>
        <w:adjustRightInd w:val="0"/>
        <w:spacing w:before="240" w:after="240"/>
        <w:ind w:left="709" w:hanging="709"/>
        <w:jc w:val="both"/>
        <w:rPr>
          <w:rFonts w:cstheme="minorHAnsi"/>
        </w:rPr>
      </w:pPr>
      <w:r w:rsidRPr="007865D8">
        <w:rPr>
          <w:rFonts w:cstheme="minorHAnsi"/>
        </w:rPr>
        <w:t>Jiménez-</w:t>
      </w:r>
      <w:proofErr w:type="spellStart"/>
      <w:r w:rsidRPr="007865D8">
        <w:rPr>
          <w:rFonts w:cstheme="minorHAnsi"/>
        </w:rPr>
        <w:t>Alvarez</w:t>
      </w:r>
      <w:proofErr w:type="spellEnd"/>
      <w:r w:rsidRPr="007865D8">
        <w:rPr>
          <w:rFonts w:cstheme="minorHAnsi"/>
        </w:rPr>
        <w:t>, Mercedes G</w:t>
      </w:r>
      <w:r w:rsidR="007865D8">
        <w:rPr>
          <w:rFonts w:cstheme="minorHAnsi"/>
        </w:rPr>
        <w:t xml:space="preserve"> </w:t>
      </w:r>
      <w:r w:rsidRPr="007865D8">
        <w:rPr>
          <w:rFonts w:eastAsia="Calibri" w:cstheme="minorHAnsi"/>
        </w:rPr>
        <w:t xml:space="preserve">(2019) Desapariciones de menores extranjeros no acompañados en España. Una primera aproximación a sus significados. Anuario CIDOB de la Inmigración. CIDOB. Recuperado de: </w:t>
      </w:r>
      <w:hyperlink r:id="rId11" w:history="1">
        <w:r w:rsidRPr="007865D8">
          <w:rPr>
            <w:rStyle w:val="Hipervnculo"/>
            <w:rFonts w:cstheme="minorHAnsi"/>
            <w:color w:val="auto"/>
          </w:rPr>
          <w:t>https://www.cidob.org/es/articulos/anuario_cidob_de_la_inmigracion/2019/desapariciones_de_menores_extranjeros_no_acompanados_en_espana_una_primera_aproximacion_a_sus_significados</w:t>
        </w:r>
      </w:hyperlink>
    </w:p>
    <w:p w14:paraId="7E81E958" w14:textId="77777777" w:rsidR="005F5801" w:rsidRPr="005F5801" w:rsidRDefault="005F5801" w:rsidP="005F5801">
      <w:pPr>
        <w:autoSpaceDE w:val="0"/>
        <w:autoSpaceDN w:val="0"/>
        <w:adjustRightInd w:val="0"/>
        <w:spacing w:before="240" w:after="240"/>
        <w:ind w:left="709" w:hanging="709"/>
        <w:jc w:val="both"/>
        <w:rPr>
          <w:rFonts w:cstheme="minorHAnsi"/>
        </w:rPr>
      </w:pPr>
      <w:bookmarkStart w:id="1" w:name="_Hlk113274484"/>
      <w:r w:rsidRPr="005F5801">
        <w:rPr>
          <w:rFonts w:cstheme="minorHAnsi"/>
        </w:rPr>
        <w:t xml:space="preserve">Jiménez-Álvarez, Mercedes G; Trujillo Vega, </w:t>
      </w:r>
      <w:proofErr w:type="spellStart"/>
      <w:r w:rsidRPr="005F5801">
        <w:rPr>
          <w:rFonts w:cstheme="minorHAnsi"/>
        </w:rPr>
        <w:t>Mª</w:t>
      </w:r>
      <w:proofErr w:type="spellEnd"/>
      <w:r w:rsidRPr="005F5801">
        <w:rPr>
          <w:rFonts w:cstheme="minorHAnsi"/>
        </w:rPr>
        <w:t xml:space="preserve"> Auxiliadora; Morante Peral, </w:t>
      </w:r>
      <w:proofErr w:type="spellStart"/>
      <w:r w:rsidRPr="005F5801">
        <w:rPr>
          <w:rFonts w:cstheme="minorHAnsi"/>
        </w:rPr>
        <w:t>Mª</w:t>
      </w:r>
      <w:proofErr w:type="spellEnd"/>
      <w:r w:rsidRPr="005F5801">
        <w:rPr>
          <w:rFonts w:cstheme="minorHAnsi"/>
        </w:rPr>
        <w:t xml:space="preserve"> Luz (2021) Pensar la alteridad. Una mirada sobre Amina Bargach y su obra. Universidad de Granada. </w:t>
      </w:r>
    </w:p>
    <w:bookmarkEnd w:id="1"/>
    <w:p w14:paraId="58E1E3B5" w14:textId="77777777" w:rsidR="005F5801" w:rsidRPr="005F5801" w:rsidRDefault="005F5801" w:rsidP="005F5801">
      <w:pPr>
        <w:autoSpaceDE w:val="0"/>
        <w:autoSpaceDN w:val="0"/>
        <w:adjustRightInd w:val="0"/>
        <w:spacing w:before="240" w:after="240"/>
        <w:ind w:left="709" w:hanging="709"/>
        <w:jc w:val="both"/>
        <w:rPr>
          <w:rFonts w:eastAsia="Calibri" w:cstheme="minorHAnsi"/>
        </w:rPr>
      </w:pPr>
      <w:r w:rsidRPr="005F5801">
        <w:rPr>
          <w:rFonts w:cstheme="minorHAnsi"/>
        </w:rPr>
        <w:t xml:space="preserve">Jiménez Álvarez, Mercedes y Montesino, Norma (2019). De Madrid a Estocolmo. Movilidades infantiles y adolescentes de niños, niñas y adolescentes marroquíes en Europa. En: </w:t>
      </w:r>
      <w:proofErr w:type="spellStart"/>
      <w:r w:rsidRPr="005F5801">
        <w:rPr>
          <w:rFonts w:cstheme="minorHAnsi"/>
        </w:rPr>
        <w:t>Moraes</w:t>
      </w:r>
      <w:proofErr w:type="spellEnd"/>
      <w:r w:rsidRPr="005F5801">
        <w:rPr>
          <w:rFonts w:cstheme="minorHAnsi"/>
        </w:rPr>
        <w:t>, Natalia y Romero, Héctor (</w:t>
      </w:r>
      <w:proofErr w:type="spellStart"/>
      <w:r w:rsidRPr="005F5801">
        <w:rPr>
          <w:rFonts w:cstheme="minorHAnsi"/>
        </w:rPr>
        <w:t>Eds</w:t>
      </w:r>
      <w:proofErr w:type="spellEnd"/>
      <w:r w:rsidRPr="005F5801">
        <w:rPr>
          <w:rFonts w:cstheme="minorHAnsi"/>
        </w:rPr>
        <w:t>, 2019) Ediciones La Catarata</w:t>
      </w:r>
    </w:p>
    <w:p w14:paraId="6CE971A4" w14:textId="77777777" w:rsidR="005F5801" w:rsidRPr="005F5801" w:rsidRDefault="005F5801" w:rsidP="005F5801">
      <w:pPr>
        <w:autoSpaceDE w:val="0"/>
        <w:autoSpaceDN w:val="0"/>
        <w:adjustRightInd w:val="0"/>
        <w:spacing w:before="240" w:after="240"/>
        <w:ind w:left="709" w:hanging="709"/>
        <w:jc w:val="both"/>
        <w:rPr>
          <w:rStyle w:val="Hipervnculo"/>
          <w:rFonts w:cstheme="minorHAnsi"/>
          <w:color w:val="auto"/>
        </w:rPr>
      </w:pPr>
      <w:r w:rsidRPr="005F5801">
        <w:rPr>
          <w:rFonts w:cstheme="minorHAnsi"/>
        </w:rPr>
        <w:t xml:space="preserve">Jiménez Álvarez, Mercedes G y Trujillo </w:t>
      </w:r>
      <w:proofErr w:type="spellStart"/>
      <w:r w:rsidRPr="005F5801">
        <w:rPr>
          <w:rFonts w:cstheme="minorHAnsi"/>
        </w:rPr>
        <w:t>Mº</w:t>
      </w:r>
      <w:proofErr w:type="spellEnd"/>
      <w:r w:rsidRPr="005F5801">
        <w:rPr>
          <w:rFonts w:cstheme="minorHAnsi"/>
        </w:rPr>
        <w:t xml:space="preserve"> Auxiliadora (2019) Infancia, adolescencia y juventud extranjeras que migran de forma autónoma. Entre la agencia, las movilidades y las fronteras. </w:t>
      </w:r>
      <w:proofErr w:type="spellStart"/>
      <w:r w:rsidRPr="005F5801">
        <w:rPr>
          <w:rFonts w:cstheme="minorHAnsi"/>
        </w:rPr>
        <w:t>Arxiu</w:t>
      </w:r>
      <w:proofErr w:type="spellEnd"/>
      <w:r w:rsidRPr="005F5801">
        <w:rPr>
          <w:rFonts w:cstheme="minorHAnsi"/>
        </w:rPr>
        <w:t xml:space="preserve"> </w:t>
      </w:r>
      <w:proofErr w:type="spellStart"/>
      <w:r w:rsidRPr="005F5801">
        <w:rPr>
          <w:rFonts w:cstheme="minorHAnsi"/>
        </w:rPr>
        <w:t>d'Etnografia</w:t>
      </w:r>
      <w:proofErr w:type="spellEnd"/>
      <w:r w:rsidRPr="005F5801">
        <w:rPr>
          <w:rFonts w:cstheme="minorHAnsi"/>
        </w:rPr>
        <w:t xml:space="preserve"> de Catalunya.  </w:t>
      </w:r>
      <w:hyperlink r:id="rId12" w:history="1">
        <w:r w:rsidRPr="005F5801">
          <w:rPr>
            <w:rStyle w:val="Hipervnculo"/>
            <w:rFonts w:cstheme="minorHAnsi"/>
            <w:color w:val="auto"/>
          </w:rPr>
          <w:t>https://doi.org/10.17345/aec20.183-204</w:t>
        </w:r>
      </w:hyperlink>
      <w:r w:rsidRPr="005F5801">
        <w:rPr>
          <w:rFonts w:cstheme="minorHAnsi"/>
        </w:rPr>
        <w:t xml:space="preserve"> Recuperado de: </w:t>
      </w:r>
      <w:hyperlink r:id="rId13" w:history="1">
        <w:r w:rsidRPr="005F5801">
          <w:rPr>
            <w:rStyle w:val="Hipervnculo"/>
            <w:rFonts w:cstheme="minorHAnsi"/>
            <w:color w:val="auto"/>
          </w:rPr>
          <w:t>https://revistes.urv.cat/index.php/aec/article/view/2746</w:t>
        </w:r>
      </w:hyperlink>
    </w:p>
    <w:p w14:paraId="52B98714" w14:textId="77777777" w:rsidR="005F5801" w:rsidRPr="005F5801" w:rsidRDefault="005F5801" w:rsidP="005F5801">
      <w:pPr>
        <w:autoSpaceDE w:val="0"/>
        <w:autoSpaceDN w:val="0"/>
        <w:adjustRightInd w:val="0"/>
        <w:spacing w:before="240" w:after="240"/>
        <w:ind w:left="709" w:hanging="709"/>
        <w:jc w:val="both"/>
        <w:rPr>
          <w:rFonts w:cstheme="minorHAnsi"/>
        </w:rPr>
      </w:pPr>
      <w:r w:rsidRPr="005F5801">
        <w:rPr>
          <w:rFonts w:cstheme="minorHAnsi"/>
          <w:shd w:val="clear" w:color="auto" w:fill="FFFFFF"/>
          <w:lang w:val="en-GB"/>
        </w:rPr>
        <w:t xml:space="preserve">Levitt, P., </w:t>
      </w:r>
      <w:proofErr w:type="spellStart"/>
      <w:r w:rsidRPr="005F5801">
        <w:rPr>
          <w:rFonts w:cstheme="minorHAnsi"/>
          <w:shd w:val="clear" w:color="auto" w:fill="FFFFFF"/>
          <w:lang w:val="en-GB"/>
        </w:rPr>
        <w:t>Viterna</w:t>
      </w:r>
      <w:proofErr w:type="spellEnd"/>
      <w:r w:rsidRPr="005F5801">
        <w:rPr>
          <w:rFonts w:cstheme="minorHAnsi"/>
          <w:shd w:val="clear" w:color="auto" w:fill="FFFFFF"/>
          <w:lang w:val="en-GB"/>
        </w:rPr>
        <w:t>, J., Mueller, A., &amp; Llyod, C. (2017). Transnational social protection: Setting the agenda. </w:t>
      </w:r>
      <w:r w:rsidRPr="005F5801">
        <w:rPr>
          <w:rFonts w:cstheme="minorHAnsi"/>
          <w:i/>
          <w:iCs/>
          <w:shd w:val="clear" w:color="auto" w:fill="FFFFFF"/>
        </w:rPr>
        <w:t xml:space="preserve">Oxford </w:t>
      </w:r>
      <w:proofErr w:type="spellStart"/>
      <w:r w:rsidRPr="005F5801">
        <w:rPr>
          <w:rFonts w:cstheme="minorHAnsi"/>
          <w:i/>
          <w:iCs/>
          <w:shd w:val="clear" w:color="auto" w:fill="FFFFFF"/>
        </w:rPr>
        <w:t>Development</w:t>
      </w:r>
      <w:proofErr w:type="spellEnd"/>
      <w:r w:rsidRPr="005F5801">
        <w:rPr>
          <w:rFonts w:cstheme="minorHAnsi"/>
          <w:i/>
          <w:iCs/>
          <w:shd w:val="clear" w:color="auto" w:fill="FFFFFF"/>
        </w:rPr>
        <w:t xml:space="preserve"> </w:t>
      </w:r>
      <w:proofErr w:type="spellStart"/>
      <w:r w:rsidRPr="005F5801">
        <w:rPr>
          <w:rFonts w:cstheme="minorHAnsi"/>
          <w:i/>
          <w:iCs/>
          <w:shd w:val="clear" w:color="auto" w:fill="FFFFFF"/>
        </w:rPr>
        <w:t>Studies</w:t>
      </w:r>
      <w:proofErr w:type="spellEnd"/>
      <w:r w:rsidRPr="005F5801">
        <w:rPr>
          <w:rFonts w:cstheme="minorHAnsi"/>
          <w:i/>
          <w:iCs/>
          <w:shd w:val="clear" w:color="auto" w:fill="FFFFFF"/>
        </w:rPr>
        <w:t>, 45</w:t>
      </w:r>
      <w:r w:rsidRPr="005F5801">
        <w:rPr>
          <w:rFonts w:cstheme="minorHAnsi"/>
          <w:shd w:val="clear" w:color="auto" w:fill="FFFFFF"/>
        </w:rPr>
        <w:t xml:space="preserve">(1), 2–19. Recuperado: </w:t>
      </w:r>
      <w:hyperlink r:id="rId14" w:history="1">
        <w:r w:rsidRPr="005F5801">
          <w:rPr>
            <w:rStyle w:val="Hipervnculo"/>
            <w:rFonts w:cstheme="minorHAnsi"/>
            <w:color w:val="auto"/>
          </w:rPr>
          <w:t>https://doi.org/10.1080/13600818.2016.1239702</w:t>
        </w:r>
      </w:hyperlink>
    </w:p>
    <w:p w14:paraId="327FF6B0" w14:textId="77777777" w:rsidR="005F5801" w:rsidRPr="005F5801" w:rsidRDefault="005F5801" w:rsidP="005F5801">
      <w:pPr>
        <w:autoSpaceDE w:val="0"/>
        <w:autoSpaceDN w:val="0"/>
        <w:adjustRightInd w:val="0"/>
        <w:spacing w:before="240" w:after="240"/>
        <w:ind w:left="709" w:hanging="709"/>
        <w:jc w:val="both"/>
        <w:rPr>
          <w:rFonts w:cstheme="minorHAnsi"/>
          <w:u w:val="single"/>
          <w:shd w:val="clear" w:color="auto" w:fill="FFFFFF"/>
        </w:rPr>
      </w:pPr>
      <w:r w:rsidRPr="005F5801">
        <w:rPr>
          <w:rFonts w:cstheme="minorHAnsi"/>
          <w:shd w:val="clear" w:color="auto" w:fill="FFFFFF"/>
        </w:rPr>
        <w:lastRenderedPageBreak/>
        <w:t xml:space="preserve">Marco Arocas, E., &amp; Gómez Nicolau, E. (2020). Ni villanos ni heroínas: discursos sobre la infancia </w:t>
      </w:r>
      <w:proofErr w:type="spellStart"/>
      <w:r w:rsidRPr="005F5801">
        <w:rPr>
          <w:rFonts w:cstheme="minorHAnsi"/>
          <w:shd w:val="clear" w:color="auto" w:fill="FFFFFF"/>
        </w:rPr>
        <w:t>vulnerabilizada</w:t>
      </w:r>
      <w:proofErr w:type="spellEnd"/>
      <w:r w:rsidRPr="005F5801">
        <w:rPr>
          <w:rFonts w:cstheme="minorHAnsi"/>
          <w:shd w:val="clear" w:color="auto" w:fill="FFFFFF"/>
        </w:rPr>
        <w:t>. </w:t>
      </w:r>
      <w:r w:rsidRPr="005F5801">
        <w:rPr>
          <w:rFonts w:cstheme="minorHAnsi"/>
          <w:i/>
          <w:iCs/>
          <w:shd w:val="clear" w:color="auto" w:fill="FFFFFF"/>
        </w:rPr>
        <w:t>Sociedad e Infancias</w:t>
      </w:r>
      <w:r w:rsidRPr="005F5801">
        <w:rPr>
          <w:rFonts w:cstheme="minorHAnsi"/>
          <w:shd w:val="clear" w:color="auto" w:fill="FFFFFF"/>
        </w:rPr>
        <w:t>, </w:t>
      </w:r>
      <w:r w:rsidRPr="005F5801">
        <w:rPr>
          <w:rFonts w:cstheme="minorHAnsi"/>
          <w:i/>
          <w:iCs/>
          <w:shd w:val="clear" w:color="auto" w:fill="FFFFFF"/>
        </w:rPr>
        <w:t>4</w:t>
      </w:r>
      <w:r w:rsidRPr="005F5801">
        <w:rPr>
          <w:rFonts w:cstheme="minorHAnsi"/>
          <w:shd w:val="clear" w:color="auto" w:fill="FFFFFF"/>
        </w:rPr>
        <w:t xml:space="preserve">, 123-133. DOI: </w:t>
      </w:r>
      <w:hyperlink r:id="rId15" w:history="1">
        <w:r w:rsidRPr="005F5801">
          <w:rPr>
            <w:rStyle w:val="Hipervnculo"/>
            <w:rFonts w:cstheme="minorHAnsi"/>
            <w:color w:val="auto"/>
            <w:shd w:val="clear" w:color="auto" w:fill="FFFFFF"/>
          </w:rPr>
          <w:t>https://doi.org/10.5209/soci.67826</w:t>
        </w:r>
      </w:hyperlink>
    </w:p>
    <w:p w14:paraId="72279168" w14:textId="77777777" w:rsidR="005F5801" w:rsidRPr="005F5801" w:rsidRDefault="005F5801" w:rsidP="005F5801">
      <w:pPr>
        <w:autoSpaceDE w:val="0"/>
        <w:autoSpaceDN w:val="0"/>
        <w:adjustRightInd w:val="0"/>
        <w:spacing w:before="240" w:after="240"/>
        <w:ind w:left="709" w:hanging="709"/>
        <w:jc w:val="both"/>
        <w:rPr>
          <w:rStyle w:val="Hipervnculo"/>
          <w:rFonts w:cstheme="minorHAnsi"/>
          <w:color w:val="auto"/>
        </w:rPr>
      </w:pPr>
      <w:r w:rsidRPr="005F5801">
        <w:rPr>
          <w:rFonts w:eastAsia="Calibri" w:cstheme="minorHAnsi"/>
        </w:rPr>
        <w:t xml:space="preserve">Montesino, Norma y Jiménez- Álvarez, Mercedes G. «Child </w:t>
      </w:r>
      <w:proofErr w:type="spellStart"/>
      <w:r w:rsidRPr="005F5801">
        <w:rPr>
          <w:rFonts w:eastAsia="Calibri" w:cstheme="minorHAnsi"/>
        </w:rPr>
        <w:t>Mobility</w:t>
      </w:r>
      <w:proofErr w:type="spellEnd"/>
      <w:r w:rsidRPr="005F5801">
        <w:rPr>
          <w:rFonts w:eastAsia="Calibri" w:cstheme="minorHAnsi"/>
        </w:rPr>
        <w:t xml:space="preserve"> and </w:t>
      </w:r>
      <w:proofErr w:type="spellStart"/>
      <w:r w:rsidRPr="005F5801">
        <w:rPr>
          <w:rFonts w:eastAsia="Calibri" w:cstheme="minorHAnsi"/>
        </w:rPr>
        <w:t>Transnational</w:t>
      </w:r>
      <w:proofErr w:type="spellEnd"/>
      <w:r w:rsidRPr="005F5801">
        <w:rPr>
          <w:rFonts w:eastAsia="Calibri" w:cstheme="minorHAnsi"/>
        </w:rPr>
        <w:t xml:space="preserve"> Responses». </w:t>
      </w:r>
      <w:proofErr w:type="spellStart"/>
      <w:r w:rsidRPr="005F5801">
        <w:rPr>
          <w:rFonts w:eastAsia="Calibri" w:cstheme="minorHAnsi"/>
          <w:i/>
        </w:rPr>
        <w:t>Transnational</w:t>
      </w:r>
      <w:proofErr w:type="spellEnd"/>
      <w:r w:rsidRPr="005F5801">
        <w:rPr>
          <w:rFonts w:eastAsia="Calibri" w:cstheme="minorHAnsi"/>
          <w:i/>
        </w:rPr>
        <w:t xml:space="preserve"> Social </w:t>
      </w:r>
      <w:proofErr w:type="spellStart"/>
      <w:r w:rsidRPr="005F5801">
        <w:rPr>
          <w:rFonts w:eastAsia="Calibri" w:cstheme="minorHAnsi"/>
          <w:i/>
        </w:rPr>
        <w:t>Review</w:t>
      </w:r>
      <w:proofErr w:type="spellEnd"/>
      <w:r w:rsidRPr="005F5801">
        <w:rPr>
          <w:rFonts w:eastAsia="Calibri" w:cstheme="minorHAnsi"/>
          <w:i/>
        </w:rPr>
        <w:t xml:space="preserve">. A social </w:t>
      </w:r>
      <w:proofErr w:type="spellStart"/>
      <w:r w:rsidRPr="005F5801">
        <w:rPr>
          <w:rFonts w:eastAsia="Calibri" w:cstheme="minorHAnsi"/>
          <w:i/>
        </w:rPr>
        <w:t>work</w:t>
      </w:r>
      <w:proofErr w:type="spellEnd"/>
      <w:r w:rsidRPr="005F5801">
        <w:rPr>
          <w:rFonts w:eastAsia="Calibri" w:cstheme="minorHAnsi"/>
          <w:i/>
        </w:rPr>
        <w:t xml:space="preserve"> </w:t>
      </w:r>
      <w:proofErr w:type="spellStart"/>
      <w:r w:rsidRPr="005F5801">
        <w:rPr>
          <w:rFonts w:eastAsia="Calibri" w:cstheme="minorHAnsi"/>
          <w:i/>
        </w:rPr>
        <w:t>journal</w:t>
      </w:r>
      <w:proofErr w:type="spellEnd"/>
      <w:r w:rsidRPr="005F5801">
        <w:rPr>
          <w:rFonts w:eastAsia="Calibri" w:cstheme="minorHAnsi"/>
          <w:i/>
        </w:rPr>
        <w:t>,</w:t>
      </w:r>
      <w:r w:rsidRPr="005F5801">
        <w:rPr>
          <w:rFonts w:eastAsia="Calibri" w:cstheme="minorHAnsi"/>
        </w:rPr>
        <w:t xml:space="preserve"> vol.5, n.º 3(diciembre 2015), p. 332-337. Recuperado de: </w:t>
      </w:r>
      <w:hyperlink r:id="rId16" w:history="1">
        <w:r w:rsidRPr="005F5801">
          <w:rPr>
            <w:rStyle w:val="Hipervnculo"/>
            <w:rFonts w:cstheme="minorHAnsi"/>
            <w:color w:val="auto"/>
          </w:rPr>
          <w:t>https://www.tandfonline.com/doi/abs/10.1080/21931674.2015.1095007</w:t>
        </w:r>
      </w:hyperlink>
    </w:p>
    <w:p w14:paraId="730229F4" w14:textId="77777777" w:rsidR="005F5801" w:rsidRPr="005F5801" w:rsidRDefault="005F5801" w:rsidP="005F5801">
      <w:pPr>
        <w:autoSpaceDE w:val="0"/>
        <w:autoSpaceDN w:val="0"/>
        <w:adjustRightInd w:val="0"/>
        <w:spacing w:before="240" w:after="240"/>
        <w:ind w:left="709" w:hanging="709"/>
        <w:jc w:val="both"/>
        <w:rPr>
          <w:rFonts w:cstheme="minorHAnsi"/>
        </w:rPr>
      </w:pPr>
      <w:r w:rsidRPr="005F5801">
        <w:rPr>
          <w:rFonts w:cstheme="minorHAnsi"/>
          <w:shd w:val="clear" w:color="auto" w:fill="FFFFFF"/>
          <w:lang w:val="en-GB"/>
        </w:rPr>
        <w:t>Orellana, M. F., Thorne, B., Chee, A., &amp; Lam, W. S. E. (2001). Transnational childhoods: The participation of children in processes of family migration. </w:t>
      </w:r>
      <w:r w:rsidRPr="005F5801">
        <w:rPr>
          <w:rFonts w:cstheme="minorHAnsi"/>
          <w:i/>
          <w:iCs/>
          <w:shd w:val="clear" w:color="auto" w:fill="FFFFFF"/>
        </w:rPr>
        <w:t xml:space="preserve">Social </w:t>
      </w:r>
      <w:proofErr w:type="spellStart"/>
      <w:r w:rsidRPr="005F5801">
        <w:rPr>
          <w:rFonts w:cstheme="minorHAnsi"/>
          <w:i/>
          <w:iCs/>
          <w:shd w:val="clear" w:color="auto" w:fill="FFFFFF"/>
        </w:rPr>
        <w:t>Problems</w:t>
      </w:r>
      <w:proofErr w:type="spellEnd"/>
      <w:r w:rsidRPr="005F5801">
        <w:rPr>
          <w:rFonts w:cstheme="minorHAnsi"/>
          <w:i/>
          <w:iCs/>
          <w:shd w:val="clear" w:color="auto" w:fill="FFFFFF"/>
        </w:rPr>
        <w:t>, 48</w:t>
      </w:r>
      <w:r w:rsidRPr="005F5801">
        <w:rPr>
          <w:rFonts w:cstheme="minorHAnsi"/>
          <w:shd w:val="clear" w:color="auto" w:fill="FFFFFF"/>
        </w:rPr>
        <w:t>(4), 572–591. </w:t>
      </w:r>
      <w:hyperlink r:id="rId17" w:tgtFrame="_blank" w:history="1">
        <w:r w:rsidRPr="005F5801">
          <w:rPr>
            <w:rFonts w:cstheme="minorHAnsi"/>
            <w:u w:val="single"/>
            <w:shd w:val="clear" w:color="auto" w:fill="FFFFFF"/>
          </w:rPr>
          <w:t>https://doi.org/10.1525/sp.2001.48.4.572</w:t>
        </w:r>
      </w:hyperlink>
    </w:p>
    <w:p w14:paraId="35BDBFE1" w14:textId="77777777" w:rsidR="005F5801" w:rsidRPr="008F47A6" w:rsidRDefault="005F5801" w:rsidP="007E4A1F">
      <w:pPr>
        <w:rPr>
          <w:b/>
          <w:bCs/>
        </w:rPr>
      </w:pPr>
    </w:p>
    <w:sectPr w:rsidR="005F5801" w:rsidRPr="008F47A6" w:rsidSect="00012F56">
      <w:headerReference w:type="default" r:id="rId18"/>
      <w:pgSz w:w="11900" w:h="16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4FDCF" w14:textId="77777777" w:rsidR="006B102D" w:rsidRDefault="006B102D" w:rsidP="00EA16DF">
      <w:r>
        <w:separator/>
      </w:r>
    </w:p>
  </w:endnote>
  <w:endnote w:type="continuationSeparator" w:id="0">
    <w:p w14:paraId="39F344E3" w14:textId="77777777" w:rsidR="006B102D" w:rsidRDefault="006B102D" w:rsidP="00EA1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NeueLT Pro 55 Roman">
    <w:altName w:val="HelveticaNeueLT Pro 55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06441" w14:textId="77777777" w:rsidR="006B102D" w:rsidRDefault="006B102D" w:rsidP="00EA16DF">
      <w:r>
        <w:separator/>
      </w:r>
    </w:p>
  </w:footnote>
  <w:footnote w:type="continuationSeparator" w:id="0">
    <w:p w14:paraId="4B7122E8" w14:textId="77777777" w:rsidR="006B102D" w:rsidRDefault="006B102D" w:rsidP="00EA1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8F5A" w14:textId="0895E4AF" w:rsidR="00EA16DF" w:rsidRDefault="00837C47" w:rsidP="00EA16DF">
    <w:pPr>
      <w:pStyle w:val="Encabezado"/>
      <w:jc w:val="right"/>
    </w:pPr>
    <w:r w:rsidRPr="00EE0873">
      <w:rPr>
        <w:noProof/>
      </w:rPr>
      <w:drawing>
        <wp:anchor distT="0" distB="0" distL="114300" distR="114300" simplePos="0" relativeHeight="251661312" behindDoc="0" locked="0" layoutInCell="1" allowOverlap="1" wp14:anchorId="05BB8872" wp14:editId="59E795BC">
          <wp:simplePos x="0" y="0"/>
          <wp:positionH relativeFrom="column">
            <wp:posOffset>4249420</wp:posOffset>
          </wp:positionH>
          <wp:positionV relativeFrom="paragraph">
            <wp:posOffset>-224790</wp:posOffset>
          </wp:positionV>
          <wp:extent cx="1377950" cy="123000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950" cy="12300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44D0E">
      <w:rPr>
        <w:rFonts w:ascii="Times New Roman" w:eastAsia="Times New Roman" w:hAnsi="Times New Roman" w:cs="Times New Roman"/>
        <w:noProof/>
        <w:lang w:eastAsia="es-ES"/>
      </w:rPr>
      <w:drawing>
        <wp:anchor distT="0" distB="0" distL="114300" distR="114300" simplePos="0" relativeHeight="251659264" behindDoc="1" locked="0" layoutInCell="1" allowOverlap="1" wp14:anchorId="7D11CED0" wp14:editId="4F75C469">
          <wp:simplePos x="0" y="0"/>
          <wp:positionH relativeFrom="column">
            <wp:posOffset>-483235</wp:posOffset>
          </wp:positionH>
          <wp:positionV relativeFrom="paragraph">
            <wp:posOffset>236220</wp:posOffset>
          </wp:positionV>
          <wp:extent cx="1009650" cy="318135"/>
          <wp:effectExtent l="0" t="0" r="0" b="5715"/>
          <wp:wrapThrough wrapText="bothSides">
            <wp:wrapPolygon edited="0">
              <wp:start x="0" y="0"/>
              <wp:lineTo x="0" y="20695"/>
              <wp:lineTo x="21192" y="20695"/>
              <wp:lineTo x="21192" y="0"/>
              <wp:lineTo x="0" y="0"/>
            </wp:wrapPolygon>
          </wp:wrapThrough>
          <wp:docPr id="2" name="Imagen 2" descr="Logo FAM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FAMSI"/>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09650" cy="318135"/>
                  </a:xfrm>
                  <a:prstGeom prst="rect">
                    <a:avLst/>
                  </a:prstGeom>
                  <a:noFill/>
                  <a:ln>
                    <a:noFill/>
                  </a:ln>
                </pic:spPr>
              </pic:pic>
            </a:graphicData>
          </a:graphic>
          <wp14:sizeRelH relativeFrom="page">
            <wp14:pctWidth>0</wp14:pctWidth>
          </wp14:sizeRelH>
          <wp14:sizeRelV relativeFrom="page">
            <wp14:pctHeight>0</wp14:pctHeight>
          </wp14:sizeRelV>
        </wp:anchor>
      </w:drawing>
    </w:r>
    <w:r w:rsidR="00B44D0E">
      <w:t xml:space="preserve"> </w:t>
    </w:r>
  </w:p>
  <w:p w14:paraId="602A3309" w14:textId="3983CCD4" w:rsidR="00B44D0E" w:rsidRPr="00837C47" w:rsidRDefault="00B44D0E" w:rsidP="00837C47">
    <w:pPr>
      <w:pStyle w:val="Encabezado"/>
    </w:pPr>
    <w:r>
      <w:rPr>
        <w:noProof/>
      </w:rPr>
      <w:drawing>
        <wp:anchor distT="0" distB="0" distL="114300" distR="114300" simplePos="0" relativeHeight="251663360" behindDoc="0" locked="0" layoutInCell="1" allowOverlap="1" wp14:anchorId="707CDA3C" wp14:editId="6EE0FD7A">
          <wp:simplePos x="0" y="0"/>
          <wp:positionH relativeFrom="margin">
            <wp:posOffset>946150</wp:posOffset>
          </wp:positionH>
          <wp:positionV relativeFrom="paragraph">
            <wp:posOffset>49530</wp:posOffset>
          </wp:positionV>
          <wp:extent cx="1308435" cy="388620"/>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08435"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r w:rsidR="00012F56">
      <w:rPr>
        <w:rFonts w:cstheme="minorHAnsi"/>
        <w:b/>
        <w:bCs/>
        <w:noProof/>
        <w:color w:val="C00000"/>
        <w:sz w:val="20"/>
        <w:szCs w:val="20"/>
      </w:rPr>
      <w:drawing>
        <wp:inline distT="0" distB="0" distL="0" distR="0" wp14:anchorId="1055B11E" wp14:editId="7B3248F2">
          <wp:extent cx="981635" cy="701040"/>
          <wp:effectExtent l="0" t="0" r="9525" b="3810"/>
          <wp:docPr id="4" name="Imagen 4"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n 37" descr="Logotipo, nombre de la empresa&#10;&#10;Descripción generada automáticament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93594" cy="709580"/>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76D6"/>
    <w:multiLevelType w:val="multilevel"/>
    <w:tmpl w:val="A0988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8126B4"/>
    <w:multiLevelType w:val="hybridMultilevel"/>
    <w:tmpl w:val="F606057E"/>
    <w:lvl w:ilvl="0" w:tplc="D3E800FA">
      <w:start w:val="2"/>
      <w:numFmt w:val="bullet"/>
      <w:lvlText w:val="-"/>
      <w:lvlJc w:val="left"/>
      <w:pPr>
        <w:ind w:left="720" w:hanging="360"/>
      </w:pPr>
      <w:rPr>
        <w:rFonts w:ascii="Times New Roman" w:eastAsiaTheme="minorHAnsi"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1BB617D"/>
    <w:multiLevelType w:val="multilevel"/>
    <w:tmpl w:val="85CC6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47C15"/>
    <w:multiLevelType w:val="multilevel"/>
    <w:tmpl w:val="0E2E4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F07008"/>
    <w:multiLevelType w:val="hybridMultilevel"/>
    <w:tmpl w:val="64684A80"/>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2E3E4124"/>
    <w:multiLevelType w:val="multilevel"/>
    <w:tmpl w:val="A532D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801E5E"/>
    <w:multiLevelType w:val="hybridMultilevel"/>
    <w:tmpl w:val="88AEFA8E"/>
    <w:lvl w:ilvl="0" w:tplc="0C0A000D">
      <w:start w:val="1"/>
      <w:numFmt w:val="bullet"/>
      <w:lvlText w:val=""/>
      <w:lvlJc w:val="left"/>
      <w:pPr>
        <w:ind w:left="1068" w:hanging="360"/>
      </w:pPr>
      <w:rPr>
        <w:rFonts w:ascii="Wingdings" w:hAnsi="Wingdings"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7" w15:restartNumberingAfterBreak="0">
    <w:nsid w:val="440F448E"/>
    <w:multiLevelType w:val="hybridMultilevel"/>
    <w:tmpl w:val="310055AE"/>
    <w:lvl w:ilvl="0" w:tplc="30102628">
      <w:start w:val="3"/>
      <w:numFmt w:val="bullet"/>
      <w:lvlText w:val="-"/>
      <w:lvlJc w:val="left"/>
      <w:pPr>
        <w:ind w:left="720" w:hanging="360"/>
      </w:pPr>
      <w:rPr>
        <w:rFonts w:ascii="Calibri" w:eastAsiaTheme="minorHAnsi" w:hAnsi="Calibri" w:cs="Calibri" w:hint="default"/>
        <w:i w:val="0"/>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44EF4D79"/>
    <w:multiLevelType w:val="hybridMultilevel"/>
    <w:tmpl w:val="1384202A"/>
    <w:lvl w:ilvl="0" w:tplc="66C61244">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15:restartNumberingAfterBreak="0">
    <w:nsid w:val="4B374C7E"/>
    <w:multiLevelType w:val="hybridMultilevel"/>
    <w:tmpl w:val="48B23448"/>
    <w:lvl w:ilvl="0" w:tplc="818ECE0C">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55724B27"/>
    <w:multiLevelType w:val="multilevel"/>
    <w:tmpl w:val="AE267A68"/>
    <w:lvl w:ilvl="0">
      <w:start w:val="1"/>
      <w:numFmt w:val="bullet"/>
      <w:pStyle w:val="Ttulo2"/>
      <w:lvlText w:val="-"/>
      <w:lvlJc w:val="left"/>
      <w:pPr>
        <w:ind w:left="720" w:hanging="360"/>
      </w:pPr>
      <w:rPr>
        <w:rFonts w:ascii="Calibri" w:eastAsia="Calibri" w:hAnsi="Calibri" w:cs="Calibri"/>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9F95F91"/>
    <w:multiLevelType w:val="hybridMultilevel"/>
    <w:tmpl w:val="2F4844A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2" w15:restartNumberingAfterBreak="0">
    <w:nsid w:val="5E7E49DE"/>
    <w:multiLevelType w:val="multilevel"/>
    <w:tmpl w:val="237A4378"/>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7981238"/>
    <w:multiLevelType w:val="hybridMultilevel"/>
    <w:tmpl w:val="991C61A6"/>
    <w:lvl w:ilvl="0" w:tplc="E5EA04C6">
      <w:start w:val="4"/>
      <w:numFmt w:val="bullet"/>
      <w:lvlText w:val="-"/>
      <w:lvlJc w:val="left"/>
      <w:pPr>
        <w:ind w:left="720" w:hanging="360"/>
      </w:pPr>
      <w:rPr>
        <w:rFonts w:ascii="Calibri" w:eastAsiaTheme="minorEastAsia"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16cid:durableId="1051731173">
    <w:abstractNumId w:val="7"/>
  </w:num>
  <w:num w:numId="2" w16cid:durableId="572395816">
    <w:abstractNumId w:val="8"/>
  </w:num>
  <w:num w:numId="3" w16cid:durableId="18892058">
    <w:abstractNumId w:val="12"/>
  </w:num>
  <w:num w:numId="4" w16cid:durableId="1104574414">
    <w:abstractNumId w:val="10"/>
  </w:num>
  <w:num w:numId="5" w16cid:durableId="1710914416">
    <w:abstractNumId w:val="13"/>
  </w:num>
  <w:num w:numId="6" w16cid:durableId="1137188886">
    <w:abstractNumId w:val="5"/>
  </w:num>
  <w:num w:numId="7" w16cid:durableId="332494827">
    <w:abstractNumId w:val="0"/>
  </w:num>
  <w:num w:numId="8" w16cid:durableId="150564432">
    <w:abstractNumId w:val="4"/>
  </w:num>
  <w:num w:numId="9" w16cid:durableId="2110923700">
    <w:abstractNumId w:val="11"/>
  </w:num>
  <w:num w:numId="10" w16cid:durableId="365637996">
    <w:abstractNumId w:val="6"/>
  </w:num>
  <w:num w:numId="11" w16cid:durableId="494497845">
    <w:abstractNumId w:val="9"/>
  </w:num>
  <w:num w:numId="12" w16cid:durableId="139156571">
    <w:abstractNumId w:val="3"/>
  </w:num>
  <w:num w:numId="13" w16cid:durableId="554316870">
    <w:abstractNumId w:val="6"/>
  </w:num>
  <w:num w:numId="14" w16cid:durableId="496654720">
    <w:abstractNumId w:val="2"/>
  </w:num>
  <w:num w:numId="15" w16cid:durableId="8552726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3DE"/>
    <w:rsid w:val="00007933"/>
    <w:rsid w:val="00012F56"/>
    <w:rsid w:val="000445F9"/>
    <w:rsid w:val="0005145C"/>
    <w:rsid w:val="00054D92"/>
    <w:rsid w:val="00071EB0"/>
    <w:rsid w:val="000B36C9"/>
    <w:rsid w:val="00146484"/>
    <w:rsid w:val="0014776B"/>
    <w:rsid w:val="00171006"/>
    <w:rsid w:val="001728E3"/>
    <w:rsid w:val="00177F72"/>
    <w:rsid w:val="00182C77"/>
    <w:rsid w:val="0018647E"/>
    <w:rsid w:val="00196900"/>
    <w:rsid w:val="001A56B8"/>
    <w:rsid w:val="001B4885"/>
    <w:rsid w:val="001B54E1"/>
    <w:rsid w:val="001D2FD8"/>
    <w:rsid w:val="001E5410"/>
    <w:rsid w:val="00204934"/>
    <w:rsid w:val="002301C9"/>
    <w:rsid w:val="00243E30"/>
    <w:rsid w:val="00260932"/>
    <w:rsid w:val="002939DE"/>
    <w:rsid w:val="00293FCE"/>
    <w:rsid w:val="00306284"/>
    <w:rsid w:val="00373372"/>
    <w:rsid w:val="00377838"/>
    <w:rsid w:val="00383429"/>
    <w:rsid w:val="00383F2A"/>
    <w:rsid w:val="003B3DC1"/>
    <w:rsid w:val="003C6560"/>
    <w:rsid w:val="003D3C39"/>
    <w:rsid w:val="003D4E1E"/>
    <w:rsid w:val="003E1945"/>
    <w:rsid w:val="003F56D0"/>
    <w:rsid w:val="00407F35"/>
    <w:rsid w:val="00444238"/>
    <w:rsid w:val="0045384D"/>
    <w:rsid w:val="004562C2"/>
    <w:rsid w:val="0048451B"/>
    <w:rsid w:val="0049051F"/>
    <w:rsid w:val="004B1F81"/>
    <w:rsid w:val="00501506"/>
    <w:rsid w:val="00517768"/>
    <w:rsid w:val="0054607A"/>
    <w:rsid w:val="00577CCA"/>
    <w:rsid w:val="0058687C"/>
    <w:rsid w:val="005A2DD7"/>
    <w:rsid w:val="005D1871"/>
    <w:rsid w:val="005F5801"/>
    <w:rsid w:val="006070C5"/>
    <w:rsid w:val="0062164D"/>
    <w:rsid w:val="00656972"/>
    <w:rsid w:val="00682E9E"/>
    <w:rsid w:val="006B102D"/>
    <w:rsid w:val="006B1865"/>
    <w:rsid w:val="006D2057"/>
    <w:rsid w:val="006E465D"/>
    <w:rsid w:val="006F2683"/>
    <w:rsid w:val="00730506"/>
    <w:rsid w:val="007865D8"/>
    <w:rsid w:val="007A0146"/>
    <w:rsid w:val="007D1B5C"/>
    <w:rsid w:val="007E4A1F"/>
    <w:rsid w:val="007E5444"/>
    <w:rsid w:val="007E5872"/>
    <w:rsid w:val="008148FA"/>
    <w:rsid w:val="00837C47"/>
    <w:rsid w:val="0088407B"/>
    <w:rsid w:val="00886C42"/>
    <w:rsid w:val="008A60C8"/>
    <w:rsid w:val="008B59FD"/>
    <w:rsid w:val="008F47A6"/>
    <w:rsid w:val="008F7B3D"/>
    <w:rsid w:val="009073DE"/>
    <w:rsid w:val="00986AD8"/>
    <w:rsid w:val="009937FF"/>
    <w:rsid w:val="009A6E1D"/>
    <w:rsid w:val="00A0551E"/>
    <w:rsid w:val="00A13C4A"/>
    <w:rsid w:val="00A1494F"/>
    <w:rsid w:val="00A561E7"/>
    <w:rsid w:val="00A861B3"/>
    <w:rsid w:val="00B16DA6"/>
    <w:rsid w:val="00B2221F"/>
    <w:rsid w:val="00B44D0E"/>
    <w:rsid w:val="00B768AB"/>
    <w:rsid w:val="00BB339B"/>
    <w:rsid w:val="00C046C7"/>
    <w:rsid w:val="00C05752"/>
    <w:rsid w:val="00C159FB"/>
    <w:rsid w:val="00C26EA3"/>
    <w:rsid w:val="00C43115"/>
    <w:rsid w:val="00CE4BD7"/>
    <w:rsid w:val="00CF38A5"/>
    <w:rsid w:val="00D10D7F"/>
    <w:rsid w:val="00D420BD"/>
    <w:rsid w:val="00D70EE9"/>
    <w:rsid w:val="00DD2D1D"/>
    <w:rsid w:val="00DE6248"/>
    <w:rsid w:val="00DF05F4"/>
    <w:rsid w:val="00DF550A"/>
    <w:rsid w:val="00E14E43"/>
    <w:rsid w:val="00E71CAA"/>
    <w:rsid w:val="00EA0182"/>
    <w:rsid w:val="00EA16DF"/>
    <w:rsid w:val="00EA37EB"/>
    <w:rsid w:val="00EA581C"/>
    <w:rsid w:val="00EA7030"/>
    <w:rsid w:val="00EB07D5"/>
    <w:rsid w:val="00ED6CD6"/>
    <w:rsid w:val="00F672A5"/>
    <w:rsid w:val="00F87FAE"/>
    <w:rsid w:val="00F91169"/>
    <w:rsid w:val="00FA33C9"/>
    <w:rsid w:val="00FB317A"/>
    <w:rsid w:val="00FB6FD8"/>
    <w:rsid w:val="00FE4F3B"/>
  </w:rsids>
  <m:mathPr>
    <m:mathFont m:val="Cambria Math"/>
    <m:brkBin m:val="before"/>
    <m:brkBinSub m:val="--"/>
    <m:smallFrac m:val="0"/>
    <m:dispDef/>
    <m:lMargin m:val="0"/>
    <m:rMargin m:val="0"/>
    <m:defJc m:val="centerGroup"/>
    <m:wrapIndent m:val="1440"/>
    <m:intLim m:val="subSup"/>
    <m:naryLim m:val="undOvr"/>
  </m:mathPr>
  <w:themeFontLang w:val="es-ES" w:eastAsia="ja-JP" w:bidi="as-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1B6E2"/>
  <w15:chartTrackingRefBased/>
  <w15:docId w15:val="{4AC6868C-FB35-E043-91E9-6B4C447D7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semiHidden/>
    <w:unhideWhenUsed/>
    <w:qFormat/>
    <w:rsid w:val="008148FA"/>
    <w:pPr>
      <w:keepNext/>
      <w:keepLines/>
      <w:numPr>
        <w:numId w:val="4"/>
      </w:numPr>
      <w:spacing w:before="200" w:after="120"/>
      <w:contextualSpacing/>
      <w:outlineLvl w:val="1"/>
    </w:pPr>
    <w:rPr>
      <w:rFonts w:ascii="Calibri" w:eastAsiaTheme="majorEastAsia" w:hAnsi="Calibri" w:cstheme="majorBidi"/>
      <w:b/>
      <w:bCs/>
      <w:color w:val="44546A" w:themeColor="text2"/>
      <w:szCs w:val="26"/>
      <w:lang w:val="en-GB" w:eastAsia="it-I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86C42"/>
    <w:pPr>
      <w:ind w:left="720"/>
      <w:contextualSpacing/>
    </w:pPr>
  </w:style>
  <w:style w:type="paragraph" w:styleId="Encabezado">
    <w:name w:val="header"/>
    <w:basedOn w:val="Normal"/>
    <w:link w:val="EncabezadoCar"/>
    <w:uiPriority w:val="99"/>
    <w:unhideWhenUsed/>
    <w:rsid w:val="00EA16DF"/>
    <w:pPr>
      <w:tabs>
        <w:tab w:val="center" w:pos="4419"/>
        <w:tab w:val="right" w:pos="8838"/>
      </w:tabs>
    </w:pPr>
  </w:style>
  <w:style w:type="character" w:customStyle="1" w:styleId="EncabezadoCar">
    <w:name w:val="Encabezado Car"/>
    <w:basedOn w:val="Fuentedeprrafopredeter"/>
    <w:link w:val="Encabezado"/>
    <w:uiPriority w:val="99"/>
    <w:rsid w:val="00EA16DF"/>
  </w:style>
  <w:style w:type="paragraph" w:styleId="Piedepgina">
    <w:name w:val="footer"/>
    <w:basedOn w:val="Normal"/>
    <w:link w:val="PiedepginaCar"/>
    <w:uiPriority w:val="99"/>
    <w:unhideWhenUsed/>
    <w:rsid w:val="00EA16DF"/>
    <w:pPr>
      <w:tabs>
        <w:tab w:val="center" w:pos="4419"/>
        <w:tab w:val="right" w:pos="8838"/>
      </w:tabs>
    </w:pPr>
  </w:style>
  <w:style w:type="character" w:customStyle="1" w:styleId="PiedepginaCar">
    <w:name w:val="Pie de página Car"/>
    <w:basedOn w:val="Fuentedeprrafopredeter"/>
    <w:link w:val="Piedepgina"/>
    <w:uiPriority w:val="99"/>
    <w:rsid w:val="00EA16DF"/>
  </w:style>
  <w:style w:type="table" w:styleId="Tablaconcuadrcula">
    <w:name w:val="Table Grid"/>
    <w:basedOn w:val="Tablanormal"/>
    <w:uiPriority w:val="39"/>
    <w:rsid w:val="00EA16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semiHidden/>
    <w:unhideWhenUsed/>
    <w:rsid w:val="00F87FAE"/>
    <w:rPr>
      <w:rFonts w:ascii="Consolas" w:hAnsi="Consolas" w:cs="Consolas"/>
      <w:sz w:val="20"/>
      <w:szCs w:val="20"/>
    </w:rPr>
  </w:style>
  <w:style w:type="character" w:customStyle="1" w:styleId="HTMLconformatoprevioCar">
    <w:name w:val="HTML con formato previo Car"/>
    <w:basedOn w:val="Fuentedeprrafopredeter"/>
    <w:link w:val="HTMLconformatoprevio"/>
    <w:uiPriority w:val="99"/>
    <w:semiHidden/>
    <w:rsid w:val="00F87FAE"/>
    <w:rPr>
      <w:rFonts w:ascii="Consolas" w:hAnsi="Consolas" w:cs="Consolas"/>
      <w:sz w:val="20"/>
      <w:szCs w:val="20"/>
    </w:rPr>
  </w:style>
  <w:style w:type="character" w:styleId="Hipervnculo">
    <w:name w:val="Hyperlink"/>
    <w:basedOn w:val="Fuentedeprrafopredeter"/>
    <w:uiPriority w:val="99"/>
    <w:unhideWhenUsed/>
    <w:rsid w:val="0005145C"/>
    <w:rPr>
      <w:color w:val="0563C1" w:themeColor="hyperlink"/>
      <w:u w:val="single"/>
    </w:rPr>
  </w:style>
  <w:style w:type="paragraph" w:styleId="Textonotapie">
    <w:name w:val="footnote text"/>
    <w:aliases w:val="Footnote Text Char, Car Car Car, Car Car, Car, Car Car Car Car Car Car Car Car Car Car,Car Car Car,Car Car,Car,Car Car Car Car Car Car Car, Car Car Car Car Car Car Car, Car Car Car Car Car Car Car Car Car"/>
    <w:basedOn w:val="Normal"/>
    <w:link w:val="TextonotapieCar"/>
    <w:unhideWhenUsed/>
    <w:rsid w:val="0005145C"/>
    <w:rPr>
      <w:rFonts w:eastAsiaTheme="minorEastAsia"/>
      <w:sz w:val="20"/>
      <w:szCs w:val="20"/>
      <w:lang w:val="fr-FR" w:eastAsia="ja-JP"/>
    </w:rPr>
  </w:style>
  <w:style w:type="character" w:customStyle="1" w:styleId="TextonotapieCar">
    <w:name w:val="Texto nota pie Car"/>
    <w:aliases w:val="Footnote Text Char Car, Car Car Car Car, Car Car Car1, Car Car1, Car Car Car Car Car Car Car Car Car Car Car,Car Car Car Car,Car Car Car1,Car Car1,Car Car Car Car Car Car Car Car, Car Car Car Car Car Car Car Car"/>
    <w:basedOn w:val="Fuentedeprrafopredeter"/>
    <w:link w:val="Textonotapie"/>
    <w:rsid w:val="0005145C"/>
    <w:rPr>
      <w:rFonts w:eastAsiaTheme="minorEastAsia"/>
      <w:sz w:val="20"/>
      <w:szCs w:val="20"/>
      <w:lang w:val="fr-FR" w:eastAsia="ja-JP"/>
    </w:rPr>
  </w:style>
  <w:style w:type="character" w:styleId="Refdenotaalpie">
    <w:name w:val="footnote reference"/>
    <w:aliases w:val="4_G"/>
    <w:basedOn w:val="Fuentedeprrafopredeter"/>
    <w:unhideWhenUsed/>
    <w:rsid w:val="0005145C"/>
    <w:rPr>
      <w:vertAlign w:val="superscript"/>
    </w:rPr>
  </w:style>
  <w:style w:type="paragraph" w:styleId="Fecha">
    <w:name w:val="Date"/>
    <w:basedOn w:val="Normal"/>
    <w:next w:val="Normal"/>
    <w:link w:val="FechaCar"/>
    <w:uiPriority w:val="99"/>
    <w:semiHidden/>
    <w:unhideWhenUsed/>
    <w:rsid w:val="008148FA"/>
  </w:style>
  <w:style w:type="character" w:customStyle="1" w:styleId="FechaCar">
    <w:name w:val="Fecha Car"/>
    <w:basedOn w:val="Fuentedeprrafopredeter"/>
    <w:link w:val="Fecha"/>
    <w:uiPriority w:val="99"/>
    <w:semiHidden/>
    <w:rsid w:val="008148FA"/>
  </w:style>
  <w:style w:type="character" w:customStyle="1" w:styleId="Ttulo2Car">
    <w:name w:val="Título 2 Car"/>
    <w:basedOn w:val="Fuentedeprrafopredeter"/>
    <w:link w:val="Ttulo2"/>
    <w:uiPriority w:val="9"/>
    <w:semiHidden/>
    <w:rsid w:val="008148FA"/>
    <w:rPr>
      <w:rFonts w:ascii="Calibri" w:eastAsiaTheme="majorEastAsia" w:hAnsi="Calibri" w:cstheme="majorBidi"/>
      <w:b/>
      <w:bCs/>
      <w:color w:val="44546A" w:themeColor="text2"/>
      <w:szCs w:val="26"/>
      <w:lang w:val="en-GB" w:eastAsia="it-IT"/>
    </w:rPr>
  </w:style>
  <w:style w:type="paragraph" w:styleId="NormalWeb">
    <w:name w:val="Normal (Web)"/>
    <w:basedOn w:val="Normal"/>
    <w:uiPriority w:val="99"/>
    <w:semiHidden/>
    <w:unhideWhenUsed/>
    <w:rsid w:val="00012F56"/>
    <w:pPr>
      <w:spacing w:before="100" w:beforeAutospacing="1" w:after="100" w:afterAutospacing="1"/>
    </w:pPr>
    <w:rPr>
      <w:rFonts w:ascii="Calibri" w:hAnsi="Calibri" w:cs="Calibri"/>
      <w:sz w:val="22"/>
      <w:szCs w:val="22"/>
      <w:lang w:eastAsia="es-ES"/>
    </w:rPr>
  </w:style>
  <w:style w:type="paragraph" w:customStyle="1" w:styleId="xxmsonormal">
    <w:name w:val="x_x_msonormal"/>
    <w:basedOn w:val="Normal"/>
    <w:rsid w:val="009A6E1D"/>
    <w:pPr>
      <w:spacing w:before="100" w:beforeAutospacing="1" w:after="100" w:afterAutospacing="1"/>
    </w:pPr>
    <w:rPr>
      <w:rFonts w:ascii="Times New Roman" w:eastAsia="Times New Roman" w:hAnsi="Times New Roman" w:cs="Times New Roman"/>
      <w:lang w:eastAsia="ja-JP" w:bidi="as-IN"/>
    </w:rPr>
  </w:style>
  <w:style w:type="character" w:styleId="Mencinsinresolver">
    <w:name w:val="Unresolved Mention"/>
    <w:basedOn w:val="Fuentedeprrafopredeter"/>
    <w:uiPriority w:val="99"/>
    <w:semiHidden/>
    <w:unhideWhenUsed/>
    <w:rsid w:val="007E4A1F"/>
    <w:rPr>
      <w:color w:val="605E5C"/>
      <w:shd w:val="clear" w:color="auto" w:fill="E1DFDD"/>
    </w:rPr>
  </w:style>
  <w:style w:type="character" w:styleId="nfasis">
    <w:name w:val="Emphasis"/>
    <w:basedOn w:val="Fuentedeprrafopredeter"/>
    <w:uiPriority w:val="20"/>
    <w:qFormat/>
    <w:rsid w:val="005F5801"/>
    <w:rPr>
      <w:i/>
      <w:iCs/>
    </w:rPr>
  </w:style>
  <w:style w:type="character" w:customStyle="1" w:styleId="st">
    <w:name w:val="st"/>
    <w:basedOn w:val="Fuentedeprrafopredeter"/>
    <w:rsid w:val="005F5801"/>
  </w:style>
  <w:style w:type="character" w:customStyle="1" w:styleId="ecxapple-converted-space">
    <w:name w:val="ecxapple-converted-space"/>
    <w:basedOn w:val="Fuentedeprrafopredeter"/>
    <w:rsid w:val="005F5801"/>
  </w:style>
  <w:style w:type="character" w:customStyle="1" w:styleId="apple-converted-space">
    <w:name w:val="apple-converted-space"/>
    <w:basedOn w:val="Fuentedeprrafopredeter"/>
    <w:rsid w:val="005F5801"/>
  </w:style>
  <w:style w:type="character" w:customStyle="1" w:styleId="A3">
    <w:name w:val="A3"/>
    <w:uiPriority w:val="99"/>
    <w:rsid w:val="005F5801"/>
    <w:rPr>
      <w:rFonts w:cs="HelveticaNeueLT Pro 55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4828">
      <w:bodyDiv w:val="1"/>
      <w:marLeft w:val="0"/>
      <w:marRight w:val="0"/>
      <w:marTop w:val="0"/>
      <w:marBottom w:val="0"/>
      <w:divBdr>
        <w:top w:val="none" w:sz="0" w:space="0" w:color="auto"/>
        <w:left w:val="none" w:sz="0" w:space="0" w:color="auto"/>
        <w:bottom w:val="none" w:sz="0" w:space="0" w:color="auto"/>
        <w:right w:val="none" w:sz="0" w:space="0" w:color="auto"/>
      </w:divBdr>
    </w:div>
    <w:div w:id="88695468">
      <w:bodyDiv w:val="1"/>
      <w:marLeft w:val="0"/>
      <w:marRight w:val="0"/>
      <w:marTop w:val="0"/>
      <w:marBottom w:val="0"/>
      <w:divBdr>
        <w:top w:val="none" w:sz="0" w:space="0" w:color="auto"/>
        <w:left w:val="none" w:sz="0" w:space="0" w:color="auto"/>
        <w:bottom w:val="none" w:sz="0" w:space="0" w:color="auto"/>
        <w:right w:val="none" w:sz="0" w:space="0" w:color="auto"/>
      </w:divBdr>
    </w:div>
    <w:div w:id="258610821">
      <w:bodyDiv w:val="1"/>
      <w:marLeft w:val="0"/>
      <w:marRight w:val="0"/>
      <w:marTop w:val="0"/>
      <w:marBottom w:val="0"/>
      <w:divBdr>
        <w:top w:val="none" w:sz="0" w:space="0" w:color="auto"/>
        <w:left w:val="none" w:sz="0" w:space="0" w:color="auto"/>
        <w:bottom w:val="none" w:sz="0" w:space="0" w:color="auto"/>
        <w:right w:val="none" w:sz="0" w:space="0" w:color="auto"/>
      </w:divBdr>
    </w:div>
    <w:div w:id="286082427">
      <w:bodyDiv w:val="1"/>
      <w:marLeft w:val="0"/>
      <w:marRight w:val="0"/>
      <w:marTop w:val="0"/>
      <w:marBottom w:val="0"/>
      <w:divBdr>
        <w:top w:val="none" w:sz="0" w:space="0" w:color="auto"/>
        <w:left w:val="none" w:sz="0" w:space="0" w:color="auto"/>
        <w:bottom w:val="none" w:sz="0" w:space="0" w:color="auto"/>
        <w:right w:val="none" w:sz="0" w:space="0" w:color="auto"/>
      </w:divBdr>
    </w:div>
    <w:div w:id="462503382">
      <w:bodyDiv w:val="1"/>
      <w:marLeft w:val="0"/>
      <w:marRight w:val="0"/>
      <w:marTop w:val="0"/>
      <w:marBottom w:val="0"/>
      <w:divBdr>
        <w:top w:val="none" w:sz="0" w:space="0" w:color="auto"/>
        <w:left w:val="none" w:sz="0" w:space="0" w:color="auto"/>
        <w:bottom w:val="none" w:sz="0" w:space="0" w:color="auto"/>
        <w:right w:val="none" w:sz="0" w:space="0" w:color="auto"/>
      </w:divBdr>
    </w:div>
    <w:div w:id="510417532">
      <w:bodyDiv w:val="1"/>
      <w:marLeft w:val="0"/>
      <w:marRight w:val="0"/>
      <w:marTop w:val="0"/>
      <w:marBottom w:val="0"/>
      <w:divBdr>
        <w:top w:val="none" w:sz="0" w:space="0" w:color="auto"/>
        <w:left w:val="none" w:sz="0" w:space="0" w:color="auto"/>
        <w:bottom w:val="none" w:sz="0" w:space="0" w:color="auto"/>
        <w:right w:val="none" w:sz="0" w:space="0" w:color="auto"/>
      </w:divBdr>
    </w:div>
    <w:div w:id="743332996">
      <w:bodyDiv w:val="1"/>
      <w:marLeft w:val="0"/>
      <w:marRight w:val="0"/>
      <w:marTop w:val="0"/>
      <w:marBottom w:val="0"/>
      <w:divBdr>
        <w:top w:val="none" w:sz="0" w:space="0" w:color="auto"/>
        <w:left w:val="none" w:sz="0" w:space="0" w:color="auto"/>
        <w:bottom w:val="none" w:sz="0" w:space="0" w:color="auto"/>
        <w:right w:val="none" w:sz="0" w:space="0" w:color="auto"/>
      </w:divBdr>
    </w:div>
    <w:div w:id="877469217">
      <w:bodyDiv w:val="1"/>
      <w:marLeft w:val="0"/>
      <w:marRight w:val="0"/>
      <w:marTop w:val="0"/>
      <w:marBottom w:val="0"/>
      <w:divBdr>
        <w:top w:val="none" w:sz="0" w:space="0" w:color="auto"/>
        <w:left w:val="none" w:sz="0" w:space="0" w:color="auto"/>
        <w:bottom w:val="none" w:sz="0" w:space="0" w:color="auto"/>
        <w:right w:val="none" w:sz="0" w:space="0" w:color="auto"/>
      </w:divBdr>
    </w:div>
    <w:div w:id="906258716">
      <w:bodyDiv w:val="1"/>
      <w:marLeft w:val="0"/>
      <w:marRight w:val="0"/>
      <w:marTop w:val="0"/>
      <w:marBottom w:val="0"/>
      <w:divBdr>
        <w:top w:val="none" w:sz="0" w:space="0" w:color="auto"/>
        <w:left w:val="none" w:sz="0" w:space="0" w:color="auto"/>
        <w:bottom w:val="none" w:sz="0" w:space="0" w:color="auto"/>
        <w:right w:val="none" w:sz="0" w:space="0" w:color="auto"/>
      </w:divBdr>
    </w:div>
    <w:div w:id="1073039603">
      <w:bodyDiv w:val="1"/>
      <w:marLeft w:val="0"/>
      <w:marRight w:val="0"/>
      <w:marTop w:val="0"/>
      <w:marBottom w:val="0"/>
      <w:divBdr>
        <w:top w:val="none" w:sz="0" w:space="0" w:color="auto"/>
        <w:left w:val="none" w:sz="0" w:space="0" w:color="auto"/>
        <w:bottom w:val="none" w:sz="0" w:space="0" w:color="auto"/>
        <w:right w:val="none" w:sz="0" w:space="0" w:color="auto"/>
      </w:divBdr>
      <w:divsChild>
        <w:div w:id="1495491116">
          <w:marLeft w:val="0"/>
          <w:marRight w:val="0"/>
          <w:marTop w:val="0"/>
          <w:marBottom w:val="0"/>
          <w:divBdr>
            <w:top w:val="none" w:sz="0" w:space="0" w:color="auto"/>
            <w:left w:val="none" w:sz="0" w:space="0" w:color="auto"/>
            <w:bottom w:val="none" w:sz="0" w:space="0" w:color="auto"/>
            <w:right w:val="none" w:sz="0" w:space="0" w:color="auto"/>
          </w:divBdr>
        </w:div>
        <w:div w:id="1523740987">
          <w:marLeft w:val="0"/>
          <w:marRight w:val="0"/>
          <w:marTop w:val="0"/>
          <w:marBottom w:val="0"/>
          <w:divBdr>
            <w:top w:val="none" w:sz="0" w:space="0" w:color="auto"/>
            <w:left w:val="none" w:sz="0" w:space="0" w:color="auto"/>
            <w:bottom w:val="none" w:sz="0" w:space="0" w:color="auto"/>
            <w:right w:val="none" w:sz="0" w:space="0" w:color="auto"/>
          </w:divBdr>
        </w:div>
        <w:div w:id="1343703564">
          <w:marLeft w:val="0"/>
          <w:marRight w:val="0"/>
          <w:marTop w:val="0"/>
          <w:marBottom w:val="0"/>
          <w:divBdr>
            <w:top w:val="none" w:sz="0" w:space="0" w:color="auto"/>
            <w:left w:val="none" w:sz="0" w:space="0" w:color="auto"/>
            <w:bottom w:val="none" w:sz="0" w:space="0" w:color="auto"/>
            <w:right w:val="none" w:sz="0" w:space="0" w:color="auto"/>
          </w:divBdr>
          <w:divsChild>
            <w:div w:id="688723438">
              <w:marLeft w:val="0"/>
              <w:marRight w:val="0"/>
              <w:marTop w:val="0"/>
              <w:marBottom w:val="0"/>
              <w:divBdr>
                <w:top w:val="none" w:sz="0" w:space="0" w:color="auto"/>
                <w:left w:val="none" w:sz="0" w:space="0" w:color="auto"/>
                <w:bottom w:val="none" w:sz="0" w:space="0" w:color="auto"/>
                <w:right w:val="none" w:sz="0" w:space="0" w:color="auto"/>
              </w:divBdr>
            </w:div>
          </w:divsChild>
        </w:div>
        <w:div w:id="1194615381">
          <w:marLeft w:val="0"/>
          <w:marRight w:val="0"/>
          <w:marTop w:val="0"/>
          <w:marBottom w:val="0"/>
          <w:divBdr>
            <w:top w:val="none" w:sz="0" w:space="0" w:color="auto"/>
            <w:left w:val="none" w:sz="0" w:space="0" w:color="auto"/>
            <w:bottom w:val="none" w:sz="0" w:space="0" w:color="auto"/>
            <w:right w:val="none" w:sz="0" w:space="0" w:color="auto"/>
          </w:divBdr>
        </w:div>
        <w:div w:id="55514632">
          <w:marLeft w:val="0"/>
          <w:marRight w:val="0"/>
          <w:marTop w:val="0"/>
          <w:marBottom w:val="0"/>
          <w:divBdr>
            <w:top w:val="none" w:sz="0" w:space="0" w:color="auto"/>
            <w:left w:val="none" w:sz="0" w:space="0" w:color="auto"/>
            <w:bottom w:val="none" w:sz="0" w:space="0" w:color="auto"/>
            <w:right w:val="none" w:sz="0" w:space="0" w:color="auto"/>
          </w:divBdr>
        </w:div>
      </w:divsChild>
    </w:div>
    <w:div w:id="1213737337">
      <w:bodyDiv w:val="1"/>
      <w:marLeft w:val="0"/>
      <w:marRight w:val="0"/>
      <w:marTop w:val="0"/>
      <w:marBottom w:val="0"/>
      <w:divBdr>
        <w:top w:val="none" w:sz="0" w:space="0" w:color="auto"/>
        <w:left w:val="none" w:sz="0" w:space="0" w:color="auto"/>
        <w:bottom w:val="none" w:sz="0" w:space="0" w:color="auto"/>
        <w:right w:val="none" w:sz="0" w:space="0" w:color="auto"/>
      </w:divBdr>
    </w:div>
    <w:div w:id="1252156790">
      <w:bodyDiv w:val="1"/>
      <w:marLeft w:val="0"/>
      <w:marRight w:val="0"/>
      <w:marTop w:val="0"/>
      <w:marBottom w:val="0"/>
      <w:divBdr>
        <w:top w:val="none" w:sz="0" w:space="0" w:color="auto"/>
        <w:left w:val="none" w:sz="0" w:space="0" w:color="auto"/>
        <w:bottom w:val="none" w:sz="0" w:space="0" w:color="auto"/>
        <w:right w:val="none" w:sz="0" w:space="0" w:color="auto"/>
      </w:divBdr>
    </w:div>
    <w:div w:id="1290863884">
      <w:bodyDiv w:val="1"/>
      <w:marLeft w:val="0"/>
      <w:marRight w:val="0"/>
      <w:marTop w:val="0"/>
      <w:marBottom w:val="0"/>
      <w:divBdr>
        <w:top w:val="none" w:sz="0" w:space="0" w:color="auto"/>
        <w:left w:val="none" w:sz="0" w:space="0" w:color="auto"/>
        <w:bottom w:val="none" w:sz="0" w:space="0" w:color="auto"/>
        <w:right w:val="none" w:sz="0" w:space="0" w:color="auto"/>
      </w:divBdr>
      <w:divsChild>
        <w:div w:id="1052071383">
          <w:marLeft w:val="0"/>
          <w:marRight w:val="0"/>
          <w:marTop w:val="0"/>
          <w:marBottom w:val="0"/>
          <w:divBdr>
            <w:top w:val="none" w:sz="0" w:space="0" w:color="auto"/>
            <w:left w:val="none" w:sz="0" w:space="0" w:color="auto"/>
            <w:bottom w:val="none" w:sz="0" w:space="0" w:color="auto"/>
            <w:right w:val="none" w:sz="0" w:space="0" w:color="auto"/>
          </w:divBdr>
        </w:div>
      </w:divsChild>
    </w:div>
    <w:div w:id="1343162428">
      <w:bodyDiv w:val="1"/>
      <w:marLeft w:val="0"/>
      <w:marRight w:val="0"/>
      <w:marTop w:val="0"/>
      <w:marBottom w:val="0"/>
      <w:divBdr>
        <w:top w:val="none" w:sz="0" w:space="0" w:color="auto"/>
        <w:left w:val="none" w:sz="0" w:space="0" w:color="auto"/>
        <w:bottom w:val="none" w:sz="0" w:space="0" w:color="auto"/>
        <w:right w:val="none" w:sz="0" w:space="0" w:color="auto"/>
      </w:divBdr>
    </w:div>
    <w:div w:id="1417896652">
      <w:bodyDiv w:val="1"/>
      <w:marLeft w:val="0"/>
      <w:marRight w:val="0"/>
      <w:marTop w:val="0"/>
      <w:marBottom w:val="0"/>
      <w:divBdr>
        <w:top w:val="none" w:sz="0" w:space="0" w:color="auto"/>
        <w:left w:val="none" w:sz="0" w:space="0" w:color="auto"/>
        <w:bottom w:val="none" w:sz="0" w:space="0" w:color="auto"/>
        <w:right w:val="none" w:sz="0" w:space="0" w:color="auto"/>
      </w:divBdr>
    </w:div>
    <w:div w:id="1578394861">
      <w:bodyDiv w:val="1"/>
      <w:marLeft w:val="0"/>
      <w:marRight w:val="0"/>
      <w:marTop w:val="0"/>
      <w:marBottom w:val="0"/>
      <w:divBdr>
        <w:top w:val="none" w:sz="0" w:space="0" w:color="auto"/>
        <w:left w:val="none" w:sz="0" w:space="0" w:color="auto"/>
        <w:bottom w:val="none" w:sz="0" w:space="0" w:color="auto"/>
        <w:right w:val="none" w:sz="0" w:space="0" w:color="auto"/>
      </w:divBdr>
    </w:div>
    <w:div w:id="1890460780">
      <w:bodyDiv w:val="1"/>
      <w:marLeft w:val="0"/>
      <w:marRight w:val="0"/>
      <w:marTop w:val="0"/>
      <w:marBottom w:val="0"/>
      <w:divBdr>
        <w:top w:val="none" w:sz="0" w:space="0" w:color="auto"/>
        <w:left w:val="none" w:sz="0" w:space="0" w:color="auto"/>
        <w:bottom w:val="none" w:sz="0" w:space="0" w:color="auto"/>
        <w:right w:val="none" w:sz="0" w:space="0" w:color="auto"/>
      </w:divBdr>
    </w:div>
    <w:div w:id="212569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02/psp.1897" TargetMode="External"/><Relationship Id="rId13" Type="http://schemas.openxmlformats.org/officeDocument/2006/relationships/hyperlink" Target="https://revistes.urv.cat/index.php/aec/article/view/2746"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7345/aec20.183-204" TargetMode="External"/><Relationship Id="rId17" Type="http://schemas.openxmlformats.org/officeDocument/2006/relationships/hyperlink" Target="https://psycnet.apa.org/doi/10.1525/sp.2001.48.4.572" TargetMode="External"/><Relationship Id="rId2" Type="http://schemas.openxmlformats.org/officeDocument/2006/relationships/numbering" Target="numbering.xml"/><Relationship Id="rId16" Type="http://schemas.openxmlformats.org/officeDocument/2006/relationships/hyperlink" Target="https://www.tandfonline.com/doi/abs/10.1080/21931674.2015.109500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idob.org/es/articulos/anuario_cidob_de_la_inmigracion/2019/desapariciones_de_menores_extranjeros_no_acompanados_en_espana_una_primera_aproximacion_a_sus_significados" TargetMode="External"/><Relationship Id="rId5" Type="http://schemas.openxmlformats.org/officeDocument/2006/relationships/webSettings" Target="webSettings.xml"/><Relationship Id="rId15" Type="http://schemas.openxmlformats.org/officeDocument/2006/relationships/hyperlink" Target="https://doi.org/10.5209/soci.67826" TargetMode="External"/><Relationship Id="rId10" Type="http://schemas.openxmlformats.org/officeDocument/2006/relationships/hyperlink" Target="https://doi.org/10.1080/0886571X.2022.210158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i.org/10.1093/oso/9780199249015.001.0001" TargetMode="External"/><Relationship Id="rId14" Type="http://schemas.openxmlformats.org/officeDocument/2006/relationships/hyperlink" Target="https://doi.org/10.1080/13600818.2016.1239702"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F192B-66EB-4FC4-804E-EFA15283F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548</Words>
  <Characters>3016</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Mercedes Jimenez</cp:lastModifiedBy>
  <cp:revision>3</cp:revision>
  <dcterms:created xsi:type="dcterms:W3CDTF">2022-09-19T08:04:00Z</dcterms:created>
  <dcterms:modified xsi:type="dcterms:W3CDTF">2022-09-19T08:05:00Z</dcterms:modified>
</cp:coreProperties>
</file>